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2898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18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062AA4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6C7FD2" w:rsidP="0027368E">
            <w:pPr>
              <w:pStyle w:val="Style4"/>
              <w:widowControl/>
            </w:pPr>
            <w:r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05E89" w:rsidRDefault="00C224D1" w:rsidP="00782898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E89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405E89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  <w:r w:rsidR="00782898" w:rsidRPr="00405E89">
              <w:rPr>
                <w:rFonts w:ascii="Times New Roman" w:hAnsi="Times New Roman" w:cs="Times New Roman"/>
                <w:sz w:val="24"/>
                <w:szCs w:val="24"/>
              </w:rPr>
              <w:t>в д. Князево (Центральный филиал)</w:t>
            </w:r>
            <w:r w:rsidR="000F259A"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82898" w:rsidRPr="00405E89">
              <w:rPr>
                <w:rFonts w:ascii="Times New Roman" w:hAnsi="Times New Roman" w:cs="Times New Roman"/>
                <w:sz w:val="24"/>
                <w:szCs w:val="24"/>
              </w:rPr>
              <w:t>Бакиров Ильдар Гарифьянович</w:t>
            </w:r>
            <w:r w:rsidR="008D2707" w:rsidRPr="00405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898" w:rsidRPr="00405E89">
              <w:rPr>
                <w:rFonts w:ascii="Times New Roman" w:hAnsi="Times New Roman" w:cs="Times New Roman"/>
                <w:sz w:val="24"/>
                <w:szCs w:val="24"/>
              </w:rPr>
              <w:t>18Bakirov.IG@bashgaz.ru</w:t>
            </w:r>
            <w:r w:rsidR="000F259A"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898" w:rsidRPr="00405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(347)2228345</w:t>
            </w:r>
            <w:r w:rsidR="000F259A" w:rsidRPr="00405E89">
              <w:rPr>
                <w:rFonts w:ascii="Times New Roman" w:hAnsi="Times New Roman" w:cs="Times New Roman"/>
                <w:sz w:val="24"/>
                <w:szCs w:val="24"/>
              </w:rPr>
              <w:t xml:space="preserve">, доб. </w:t>
            </w:r>
            <w:r w:rsidR="00782898" w:rsidRPr="00405E89">
              <w:rPr>
                <w:rFonts w:ascii="Times New Roman" w:hAnsi="Times New Roman" w:cs="Times New Roman"/>
                <w:sz w:val="24"/>
                <w:szCs w:val="24"/>
              </w:rPr>
              <w:t>91-592</w:t>
            </w:r>
          </w:p>
          <w:p w:rsidR="006C7FD2" w:rsidRPr="00405E89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405E89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405E89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405E89" w:rsidRDefault="00405E89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color w:val="000000"/>
                <w:lang w:eastAsia="ru-RU"/>
              </w:rPr>
              <w:t xml:space="preserve">Грузовой </w:t>
            </w:r>
            <w:r w:rsidRPr="00405E89">
              <w:rPr>
                <w:color w:val="000000"/>
                <w:lang w:eastAsia="ru-RU"/>
              </w:rPr>
              <w:t>УАЗ-390902, гос.рег.знак С961ЕТ 02, 2005 г.в.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405E89" w:rsidRDefault="00405E89" w:rsidP="0027368E">
            <w:pPr>
              <w:pStyle w:val="Style4"/>
              <w:widowControl/>
            </w:pPr>
            <w:r w:rsidRPr="00405E89">
              <w:rPr>
                <w:bCs/>
                <w:color w:val="000000"/>
              </w:rPr>
              <w:t>д.Князево ул.Кирова, 2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29508E" w:rsidRPr="00C224D1" w:rsidTr="002C30A8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C224D1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УАЗ 390902</w:t>
                  </w:r>
                </w:p>
              </w:tc>
            </w:tr>
            <w:tr w:rsidR="0029508E" w:rsidRPr="00C224D1" w:rsidTr="002C30A8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С961ЕТ_02</w:t>
                  </w:r>
                </w:p>
              </w:tc>
            </w:tr>
            <w:tr w:rsidR="0029508E" w:rsidRPr="00C224D1" w:rsidTr="002C30A8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ХТТ39090250419038</w:t>
                  </w:r>
                </w:p>
              </w:tc>
            </w:tr>
            <w:tr w:rsidR="0029508E" w:rsidRPr="00C224D1" w:rsidTr="00C224D1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  <w:tr w:rsidR="0029508E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ЗМЗ-40210</w:t>
                  </w: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L N 50000748</w:t>
                  </w:r>
                </w:p>
              </w:tc>
            </w:tr>
            <w:tr w:rsidR="0029508E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37410050440124</w:t>
                  </w:r>
                </w:p>
              </w:tc>
            </w:tr>
            <w:tr w:rsidR="0029508E" w:rsidRPr="00C224D1" w:rsidTr="002C30A8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39090050201439</w:t>
                  </w:r>
                </w:p>
              </w:tc>
            </w:tr>
            <w:tr w:rsidR="0029508E" w:rsidRPr="00C224D1" w:rsidTr="002C30A8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Защитный</w:t>
                  </w:r>
                </w:p>
              </w:tc>
            </w:tr>
            <w:tr w:rsidR="0029508E" w:rsidRPr="00C224D1" w:rsidTr="002C30A8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29508E" w:rsidRPr="0029508E" w:rsidRDefault="0029508E" w:rsidP="002950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73КХ605105</w:t>
                  </w:r>
                </w:p>
              </w:tc>
            </w:tr>
            <w:tr w:rsidR="0029508E" w:rsidRPr="00C224D1" w:rsidTr="002C30A8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29508E" w:rsidRPr="00C224D1" w:rsidRDefault="0029508E" w:rsidP="0029508E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C224D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29508E" w:rsidRPr="0029508E" w:rsidRDefault="0029508E" w:rsidP="0029508E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29508E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0213№808904</w:t>
                  </w: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C224D1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C224D1" w:rsidRDefault="00405E89" w:rsidP="0027368E">
            <w:pPr>
              <w:pStyle w:val="a5"/>
            </w:pPr>
            <w:r>
              <w:t>51</w:t>
            </w:r>
            <w:r w:rsidR="00C224D1" w:rsidRPr="00C224D1">
              <w:t xml:space="preserve"> 000,00 </w:t>
            </w:r>
            <w:r w:rsidR="006C7FD2" w:rsidRPr="00C224D1">
              <w:t xml:space="preserve">руб. с учетом НДС 20% </w:t>
            </w:r>
          </w:p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ED6348" w:rsidRPr="00C224D1" w:rsidTr="00FA36BB">
        <w:tc>
          <w:tcPr>
            <w:tcW w:w="851" w:type="dxa"/>
          </w:tcPr>
          <w:p w:rsidR="00ED6348" w:rsidRPr="00C224D1" w:rsidRDefault="00ED6348" w:rsidP="00ED634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ED6348" w:rsidRPr="00C224D1" w:rsidRDefault="00ED6348" w:rsidP="00ED634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ED6348" w:rsidRPr="00477A6F" w:rsidRDefault="00D32DA0" w:rsidP="00ED634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="00ED6348"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в 14</w:t>
            </w:r>
            <w:r w:rsidR="00ED6348" w:rsidRPr="00477A6F">
              <w:rPr>
                <w:rStyle w:val="FontStyle62"/>
                <w:b/>
                <w:sz w:val="24"/>
              </w:rPr>
              <w:t xml:space="preserve">ч.59 мин. </w:t>
            </w:r>
          </w:p>
          <w:p w:rsidR="00ED6348" w:rsidRPr="00477A6F" w:rsidRDefault="00ED6348" w:rsidP="00ED6348">
            <w:pPr>
              <w:pStyle w:val="Style4"/>
              <w:widowControl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ED6348" w:rsidRPr="00477A6F" w:rsidRDefault="00ED6348" w:rsidP="00ED6348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ED6348" w:rsidRPr="00C224D1" w:rsidTr="00FA36BB">
        <w:tc>
          <w:tcPr>
            <w:tcW w:w="851" w:type="dxa"/>
          </w:tcPr>
          <w:p w:rsidR="00ED6348" w:rsidRPr="00C224D1" w:rsidRDefault="00ED6348" w:rsidP="00ED634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ED6348" w:rsidRPr="00C224D1" w:rsidRDefault="00ED6348" w:rsidP="00ED6348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ED6348" w:rsidRPr="00477A6F" w:rsidRDefault="00D32DA0" w:rsidP="00ED634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10</w:t>
            </w:r>
            <w:r w:rsidRPr="00477A6F">
              <w:rPr>
                <w:b/>
                <w:color w:val="000000"/>
              </w:rPr>
              <w:t>.03.2022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ED6348" w:rsidRPr="00477A6F">
              <w:rPr>
                <w:rStyle w:val="FontStyle62"/>
                <w:b/>
                <w:sz w:val="24"/>
              </w:rPr>
              <w:t>в 1</w:t>
            </w:r>
            <w:r>
              <w:rPr>
                <w:rStyle w:val="FontStyle62"/>
                <w:b/>
                <w:sz w:val="24"/>
              </w:rPr>
              <w:t>7</w:t>
            </w:r>
            <w:r w:rsidR="00ED6348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ED6348" w:rsidRPr="00477A6F" w:rsidRDefault="00ED6348" w:rsidP="00ED634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ED6348" w:rsidRPr="00477A6F" w:rsidRDefault="00ED6348" w:rsidP="00ED6348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ED6348" w:rsidRPr="00C224D1" w:rsidTr="00FA36BB">
        <w:tc>
          <w:tcPr>
            <w:tcW w:w="851" w:type="dxa"/>
          </w:tcPr>
          <w:p w:rsidR="00ED6348" w:rsidRPr="00C224D1" w:rsidRDefault="00ED6348" w:rsidP="00ED634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ED6348" w:rsidRPr="00C224D1" w:rsidRDefault="00ED6348" w:rsidP="00ED6348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ED6348" w:rsidRPr="00477A6F" w:rsidRDefault="00D32DA0" w:rsidP="00ED6348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11</w:t>
            </w:r>
            <w:r w:rsidR="00ED6348" w:rsidRPr="00477A6F">
              <w:rPr>
                <w:b/>
                <w:color w:val="000000"/>
              </w:rPr>
              <w:t>.03.2022</w:t>
            </w:r>
            <w:r w:rsidR="00ED6348" w:rsidRPr="00477A6F">
              <w:rPr>
                <w:rStyle w:val="FontStyle62"/>
                <w:b/>
                <w:sz w:val="24"/>
              </w:rPr>
              <w:t xml:space="preserve"> в </w:t>
            </w:r>
            <w:r>
              <w:rPr>
                <w:rStyle w:val="FontStyle62"/>
                <w:b/>
                <w:sz w:val="24"/>
              </w:rPr>
              <w:t>09</w:t>
            </w:r>
            <w:r w:rsidR="00ED6348" w:rsidRPr="00477A6F">
              <w:rPr>
                <w:rStyle w:val="FontStyle62"/>
                <w:b/>
                <w:sz w:val="24"/>
              </w:rPr>
              <w:t xml:space="preserve">ч.00 мин. </w:t>
            </w:r>
          </w:p>
          <w:p w:rsidR="00ED6348" w:rsidRPr="00477A6F" w:rsidRDefault="00ED6348" w:rsidP="00ED634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ED6348" w:rsidRPr="00477A6F" w:rsidRDefault="00ED6348" w:rsidP="00ED6348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ED6348" w:rsidRPr="00C224D1" w:rsidTr="00FA36BB">
        <w:tc>
          <w:tcPr>
            <w:tcW w:w="851" w:type="dxa"/>
          </w:tcPr>
          <w:p w:rsidR="00ED6348" w:rsidRPr="00C224D1" w:rsidRDefault="00ED6348" w:rsidP="00ED6348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ED6348" w:rsidRPr="00C224D1" w:rsidRDefault="00ED6348" w:rsidP="00ED6348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ED6348" w:rsidRPr="00477A6F" w:rsidRDefault="00ED6348" w:rsidP="00ED6348">
            <w:pPr>
              <w:pStyle w:val="a5"/>
              <w:rPr>
                <w:rStyle w:val="FontStyle62"/>
                <w:b/>
                <w:sz w:val="24"/>
              </w:rPr>
            </w:pPr>
            <w:r w:rsidRPr="00477A6F">
              <w:rPr>
                <w:b/>
                <w:color w:val="000000"/>
              </w:rPr>
              <w:t>31</w:t>
            </w:r>
            <w:bookmarkStart w:id="0" w:name="_GoBack"/>
            <w:bookmarkEnd w:id="0"/>
            <w:r w:rsidRPr="00477A6F">
              <w:rPr>
                <w:b/>
                <w:color w:val="000000"/>
              </w:rPr>
              <w:t>.03.2022</w:t>
            </w:r>
            <w:r w:rsidRPr="00477A6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ED6348" w:rsidRPr="00477A6F" w:rsidRDefault="00ED6348" w:rsidP="00ED6348">
            <w:pPr>
              <w:pStyle w:val="a5"/>
              <w:rPr>
                <w:rStyle w:val="FontStyle62"/>
                <w:sz w:val="24"/>
              </w:rPr>
            </w:pPr>
            <w:r w:rsidRPr="00477A6F">
              <w:rPr>
                <w:rStyle w:val="FontStyle62"/>
                <w:sz w:val="24"/>
              </w:rPr>
              <w:t>(местн. вр. заказчика)</w:t>
            </w:r>
          </w:p>
          <w:p w:rsidR="00ED6348" w:rsidRPr="00477A6F" w:rsidRDefault="00ED6348" w:rsidP="00ED6348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4A2025" w:rsidRDefault="004A2025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A2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25" w:rsidRDefault="004A2025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A2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025" w:rsidRDefault="004A2025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4A2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A4" w:rsidRDefault="00062AA4" w:rsidP="00DC1CF6">
      <w:pPr>
        <w:spacing w:after="0" w:line="240" w:lineRule="auto"/>
      </w:pPr>
      <w:r>
        <w:separator/>
      </w:r>
    </w:p>
  </w:endnote>
  <w:endnote w:type="continuationSeparator" w:id="0">
    <w:p w:rsidR="00062AA4" w:rsidRDefault="00062AA4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A4" w:rsidRDefault="00062AA4" w:rsidP="00DC1CF6">
      <w:pPr>
        <w:spacing w:after="0" w:line="240" w:lineRule="auto"/>
      </w:pPr>
      <w:r>
        <w:separator/>
      </w:r>
    </w:p>
  </w:footnote>
  <w:footnote w:type="continuationSeparator" w:id="0">
    <w:p w:rsidR="00062AA4" w:rsidRDefault="00062AA4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62AA4"/>
    <w:rsid w:val="000B5D7A"/>
    <w:rsid w:val="000F259A"/>
    <w:rsid w:val="000F48F5"/>
    <w:rsid w:val="0011604B"/>
    <w:rsid w:val="001B758D"/>
    <w:rsid w:val="001B7785"/>
    <w:rsid w:val="00260D40"/>
    <w:rsid w:val="00293C26"/>
    <w:rsid w:val="0029508E"/>
    <w:rsid w:val="00297F21"/>
    <w:rsid w:val="002A1CF9"/>
    <w:rsid w:val="002C30A8"/>
    <w:rsid w:val="002D4C47"/>
    <w:rsid w:val="00316A4D"/>
    <w:rsid w:val="00327039"/>
    <w:rsid w:val="0035225F"/>
    <w:rsid w:val="003650E9"/>
    <w:rsid w:val="0038303E"/>
    <w:rsid w:val="003C3A26"/>
    <w:rsid w:val="003D45B0"/>
    <w:rsid w:val="004042E1"/>
    <w:rsid w:val="00405E89"/>
    <w:rsid w:val="00451245"/>
    <w:rsid w:val="004A2025"/>
    <w:rsid w:val="004C25D3"/>
    <w:rsid w:val="005B5273"/>
    <w:rsid w:val="005E5CF9"/>
    <w:rsid w:val="0061765A"/>
    <w:rsid w:val="006708A2"/>
    <w:rsid w:val="006946CA"/>
    <w:rsid w:val="006C011D"/>
    <w:rsid w:val="006C7FD2"/>
    <w:rsid w:val="00735A55"/>
    <w:rsid w:val="0074450B"/>
    <w:rsid w:val="00750DEB"/>
    <w:rsid w:val="00761602"/>
    <w:rsid w:val="00772A68"/>
    <w:rsid w:val="00781A18"/>
    <w:rsid w:val="00782898"/>
    <w:rsid w:val="007C0642"/>
    <w:rsid w:val="007E58FD"/>
    <w:rsid w:val="00887BCE"/>
    <w:rsid w:val="00895E2F"/>
    <w:rsid w:val="008A527B"/>
    <w:rsid w:val="008C6939"/>
    <w:rsid w:val="008D12B3"/>
    <w:rsid w:val="008D2707"/>
    <w:rsid w:val="008E50BB"/>
    <w:rsid w:val="008F5646"/>
    <w:rsid w:val="00935A39"/>
    <w:rsid w:val="0096563C"/>
    <w:rsid w:val="009736A5"/>
    <w:rsid w:val="00974E7C"/>
    <w:rsid w:val="00977514"/>
    <w:rsid w:val="009A07FA"/>
    <w:rsid w:val="009A2B82"/>
    <w:rsid w:val="00A015A2"/>
    <w:rsid w:val="00A01D6C"/>
    <w:rsid w:val="00A2560F"/>
    <w:rsid w:val="00A256BC"/>
    <w:rsid w:val="00A42FE3"/>
    <w:rsid w:val="00A50619"/>
    <w:rsid w:val="00A60CE0"/>
    <w:rsid w:val="00A653A8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C21ACC"/>
    <w:rsid w:val="00C224D1"/>
    <w:rsid w:val="00C264C9"/>
    <w:rsid w:val="00C6121A"/>
    <w:rsid w:val="00C710FA"/>
    <w:rsid w:val="00C777C7"/>
    <w:rsid w:val="00CA0196"/>
    <w:rsid w:val="00CA685C"/>
    <w:rsid w:val="00CB04DC"/>
    <w:rsid w:val="00CD1138"/>
    <w:rsid w:val="00CE069A"/>
    <w:rsid w:val="00CE0C2A"/>
    <w:rsid w:val="00D32DA0"/>
    <w:rsid w:val="00D44CA2"/>
    <w:rsid w:val="00D4671C"/>
    <w:rsid w:val="00D739BC"/>
    <w:rsid w:val="00D93C9B"/>
    <w:rsid w:val="00DC1CF6"/>
    <w:rsid w:val="00DE2672"/>
    <w:rsid w:val="00E0353E"/>
    <w:rsid w:val="00E55236"/>
    <w:rsid w:val="00E8495A"/>
    <w:rsid w:val="00E87F1D"/>
    <w:rsid w:val="00ED6348"/>
    <w:rsid w:val="00F2595D"/>
    <w:rsid w:val="00F30DDD"/>
    <w:rsid w:val="00F33687"/>
    <w:rsid w:val="00F43E3A"/>
    <w:rsid w:val="00F7065D"/>
    <w:rsid w:val="00F70D12"/>
    <w:rsid w:val="00F80684"/>
    <w:rsid w:val="00FA36BB"/>
    <w:rsid w:val="00FC7C61"/>
    <w:rsid w:val="00FD3799"/>
    <w:rsid w:val="00FE7D74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2EEED-ACF1-4C15-A90B-43D545FB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29</cp:revision>
  <dcterms:created xsi:type="dcterms:W3CDTF">2021-09-02T07:27:00Z</dcterms:created>
  <dcterms:modified xsi:type="dcterms:W3CDTF">2022-03-10T06:28:00Z</dcterms:modified>
</cp:coreProperties>
</file>